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E8" w:rsidRPr="00E35082" w:rsidRDefault="005446E8" w:rsidP="005446E8">
      <w:bookmarkStart w:id="0" w:name="_GoBack"/>
      <w:bookmarkEnd w:id="0"/>
      <w:r w:rsidRPr="00E35082">
        <w:rPr>
          <w:b/>
        </w:rPr>
        <w:t>Fifty percent</w:t>
      </w:r>
      <w:r w:rsidRPr="00E35082">
        <w:t xml:space="preserve"> of American lives are impacted by the addiction of a family member</w:t>
      </w:r>
    </w:p>
    <w:p w:rsidR="005446E8" w:rsidRDefault="005446E8" w:rsidP="005446E8">
      <w:r w:rsidRPr="00E35082">
        <w:t xml:space="preserve">When someone is addicted to drugs or alcohol, the disease affects the entire family. They need information and support and the Family Education Program is a place for them to turn. The program helps individuals and families recognize and address addiction problems in a spouse, parent, child </w:t>
      </w:r>
      <w:r w:rsidR="00D469FE" w:rsidRPr="00E35082">
        <w:t>or</w:t>
      </w:r>
      <w:r w:rsidR="00D469FE">
        <w:t xml:space="preserve"> other</w:t>
      </w:r>
      <w:r w:rsidRPr="00E35082">
        <w:t xml:space="preserve"> loved one.</w:t>
      </w:r>
    </w:p>
    <w:p w:rsidR="005446E8" w:rsidRDefault="005446E8" w:rsidP="005446E8">
      <w:r w:rsidRPr="00E35082">
        <w:t xml:space="preserve">Facilitated by trained volunteers who have been </w:t>
      </w:r>
      <w:r w:rsidR="00D469FE">
        <w:t>on the same journey</w:t>
      </w:r>
      <w:r w:rsidRPr="00E35082">
        <w:t>, this information and</w:t>
      </w:r>
      <w:r w:rsidRPr="00296545">
        <w:t xml:space="preserve"> education-support program gives the participants the tools they need to address addiction in the family constructively and begin their own process of healing and recovery. The program </w:t>
      </w:r>
      <w:r>
        <w:t xml:space="preserve">includes three </w:t>
      </w:r>
      <w:r w:rsidR="00D469FE">
        <w:t xml:space="preserve">two hour </w:t>
      </w:r>
      <w:r>
        <w:t>sessions</w:t>
      </w:r>
      <w:r w:rsidR="00D469FE">
        <w:t>,</w:t>
      </w:r>
      <w:r>
        <w:t xml:space="preserve"> spread over three weeks and </w:t>
      </w:r>
      <w:r w:rsidRPr="00296545">
        <w:t>covers</w:t>
      </w:r>
      <w:r>
        <w:t xml:space="preserve"> the following</w:t>
      </w:r>
      <w:r w:rsidR="00D469FE">
        <w:t xml:space="preserve"> to include</w:t>
      </w:r>
      <w:r>
        <w:t xml:space="preserve"> ample time for discussion</w:t>
      </w:r>
      <w:r w:rsidRPr="00296545">
        <w:t>:</w:t>
      </w:r>
    </w:p>
    <w:tbl>
      <w:tblPr>
        <w:tblStyle w:val="TableGrid"/>
        <w:tblW w:w="13011" w:type="dxa"/>
        <w:tblLook w:val="04A0" w:firstRow="1" w:lastRow="0" w:firstColumn="1" w:lastColumn="0" w:noHBand="0" w:noVBand="1"/>
      </w:tblPr>
      <w:tblGrid>
        <w:gridCol w:w="3865"/>
        <w:gridCol w:w="4950"/>
        <w:gridCol w:w="4196"/>
      </w:tblGrid>
      <w:tr w:rsidR="005446E8" w:rsidRPr="005446E8" w:rsidTr="005446E8">
        <w:tc>
          <w:tcPr>
            <w:tcW w:w="3865" w:type="dxa"/>
            <w:shd w:val="clear" w:color="auto" w:fill="D9E2F3" w:themeFill="accent5" w:themeFillTint="33"/>
          </w:tcPr>
          <w:p w:rsidR="005446E8" w:rsidRPr="005446E8" w:rsidRDefault="005446E8">
            <w:pPr>
              <w:rPr>
                <w:b/>
                <w:sz w:val="24"/>
                <w:szCs w:val="24"/>
              </w:rPr>
            </w:pPr>
            <w:r w:rsidRPr="005446E8">
              <w:rPr>
                <w:b/>
                <w:sz w:val="24"/>
                <w:szCs w:val="24"/>
              </w:rPr>
              <w:t xml:space="preserve">Week One:  </w:t>
            </w:r>
          </w:p>
          <w:p w:rsidR="005446E8" w:rsidRPr="005446E8" w:rsidRDefault="005446E8">
            <w:pPr>
              <w:rPr>
                <w:b/>
              </w:rPr>
            </w:pPr>
            <w:r w:rsidRPr="005446E8">
              <w:rPr>
                <w:b/>
                <w:sz w:val="24"/>
                <w:szCs w:val="24"/>
              </w:rPr>
              <w:t>Understanding Addiction</w:t>
            </w:r>
          </w:p>
        </w:tc>
        <w:tc>
          <w:tcPr>
            <w:tcW w:w="4950" w:type="dxa"/>
            <w:shd w:val="clear" w:color="auto" w:fill="D9E2F3" w:themeFill="accent5" w:themeFillTint="33"/>
          </w:tcPr>
          <w:p w:rsidR="005446E8" w:rsidRPr="005446E8" w:rsidRDefault="005446E8">
            <w:pPr>
              <w:rPr>
                <w:b/>
                <w:sz w:val="24"/>
                <w:szCs w:val="24"/>
              </w:rPr>
            </w:pPr>
            <w:r w:rsidRPr="005446E8">
              <w:rPr>
                <w:b/>
                <w:sz w:val="24"/>
                <w:szCs w:val="24"/>
              </w:rPr>
              <w:t xml:space="preserve">Week Two:  </w:t>
            </w:r>
          </w:p>
          <w:p w:rsidR="005446E8" w:rsidRPr="005446E8" w:rsidRDefault="005446E8">
            <w:pPr>
              <w:rPr>
                <w:b/>
              </w:rPr>
            </w:pPr>
            <w:r w:rsidRPr="005446E8">
              <w:rPr>
                <w:b/>
                <w:sz w:val="24"/>
                <w:szCs w:val="24"/>
              </w:rPr>
              <w:t>Understanding the Impact on the Family</w:t>
            </w:r>
          </w:p>
        </w:tc>
        <w:tc>
          <w:tcPr>
            <w:tcW w:w="4196" w:type="dxa"/>
            <w:shd w:val="clear" w:color="auto" w:fill="D9E2F3" w:themeFill="accent5" w:themeFillTint="33"/>
          </w:tcPr>
          <w:p w:rsidR="005446E8" w:rsidRPr="005446E8" w:rsidRDefault="005446E8">
            <w:pPr>
              <w:rPr>
                <w:b/>
                <w:sz w:val="24"/>
                <w:szCs w:val="24"/>
              </w:rPr>
            </w:pPr>
            <w:r w:rsidRPr="005446E8">
              <w:rPr>
                <w:b/>
                <w:sz w:val="24"/>
                <w:szCs w:val="24"/>
              </w:rPr>
              <w:t xml:space="preserve">Week Three:  </w:t>
            </w:r>
          </w:p>
          <w:p w:rsidR="005446E8" w:rsidRPr="005446E8" w:rsidRDefault="005446E8">
            <w:pPr>
              <w:rPr>
                <w:b/>
              </w:rPr>
            </w:pPr>
            <w:r w:rsidRPr="005446E8">
              <w:rPr>
                <w:b/>
                <w:sz w:val="24"/>
                <w:szCs w:val="24"/>
              </w:rPr>
              <w:t>Developing the Next Steps</w:t>
            </w:r>
          </w:p>
        </w:tc>
      </w:tr>
      <w:tr w:rsidR="005446E8" w:rsidTr="005446E8">
        <w:tc>
          <w:tcPr>
            <w:tcW w:w="3865" w:type="dxa"/>
          </w:tcPr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Addiction Defined</w:t>
            </w:r>
          </w:p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People at Risk for Alcohol &amp; Drug Addiction</w:t>
            </w:r>
          </w:p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Myths About Alcohol &amp; Drug Use</w:t>
            </w:r>
          </w:p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Dopamine’s Effect on the Brain</w:t>
            </w:r>
          </w:p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Brain Does Recover</w:t>
            </w:r>
          </w:p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Recovery Defined</w:t>
            </w:r>
          </w:p>
          <w:p w:rsidR="005446E8" w:rsidRDefault="005446E8" w:rsidP="005446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Pathways to Recovery</w:t>
            </w:r>
          </w:p>
          <w:p w:rsidR="005446E8" w:rsidRDefault="005446E8"/>
        </w:tc>
        <w:tc>
          <w:tcPr>
            <w:tcW w:w="4950" w:type="dxa"/>
          </w:tcPr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Family Recovery Management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Enabling and Why We Do It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Enabling Questionnaire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Changing Behavior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Changing Family Scripts Behavioral Exercise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Responsible for Myself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Letting Go</w:t>
            </w:r>
          </w:p>
          <w:p w:rsidR="005446E8" w:rsidRPr="00764642" w:rsidRDefault="005446E8" w:rsidP="005446E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 Twelve Rewards of Family Recovery</w:t>
            </w:r>
          </w:p>
          <w:p w:rsidR="005446E8" w:rsidRDefault="005446E8"/>
        </w:tc>
        <w:tc>
          <w:tcPr>
            <w:tcW w:w="4196" w:type="dxa"/>
          </w:tcPr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Behavior Recap</w:t>
            </w:r>
            <w:r w:rsidRPr="00C347D1">
              <w:rPr>
                <w:noProof/>
              </w:rPr>
              <w:t xml:space="preserve"> </w:t>
            </w:r>
          </w:p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Empowering a Loved One to Seek Recovery</w:t>
            </w:r>
          </w:p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</w:p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for Effective Recovery</w:t>
            </w:r>
          </w:p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Continuum of Care</w:t>
            </w:r>
          </w:p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Coverage: Act 106 &amp; Parity</w:t>
            </w:r>
          </w:p>
          <w:p w:rsidR="005446E8" w:rsidRDefault="005446E8" w:rsidP="005446E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Planning</w:t>
            </w:r>
          </w:p>
          <w:p w:rsidR="005446E8" w:rsidRPr="005446E8" w:rsidRDefault="005446E8" w:rsidP="005446E8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 xml:space="preserve">Support Networks </w:t>
            </w:r>
          </w:p>
          <w:p w:rsidR="005446E8" w:rsidRDefault="005446E8" w:rsidP="005446E8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Suggest Books &amp; Other Media</w:t>
            </w:r>
          </w:p>
        </w:tc>
      </w:tr>
    </w:tbl>
    <w:p w:rsidR="005446E8" w:rsidRDefault="005446E8"/>
    <w:p w:rsidR="005446E8" w:rsidRDefault="005446E8" w:rsidP="005446E8">
      <w:pPr>
        <w:jc w:val="both"/>
      </w:pPr>
      <w:r w:rsidRPr="00C044AE">
        <w:rPr>
          <w:i/>
          <w:sz w:val="24"/>
          <w:szCs w:val="24"/>
        </w:rPr>
        <w:t>Pennsylvania Recovery Organization - Achieving Community Together (PRO-ACT) is a grassroots advocacy and recovery support in</w:t>
      </w:r>
      <w:r>
        <w:rPr>
          <w:i/>
          <w:sz w:val="24"/>
          <w:szCs w:val="24"/>
        </w:rPr>
        <w:t>itiative of The Council of</w:t>
      </w:r>
      <w:r w:rsidRPr="00C044AE">
        <w:rPr>
          <w:i/>
          <w:sz w:val="24"/>
          <w:szCs w:val="24"/>
        </w:rPr>
        <w:t xml:space="preserve"> Southeastern</w:t>
      </w:r>
      <w:r>
        <w:rPr>
          <w:rFonts w:ascii="Verdana" w:hAnsi="Verdana"/>
          <w:color w:val="001A81"/>
          <w:shd w:val="clear" w:color="auto" w:fill="FFFFFF"/>
        </w:rPr>
        <w:t xml:space="preserve"> </w:t>
      </w:r>
      <w:r>
        <w:rPr>
          <w:i/>
          <w:sz w:val="24"/>
          <w:szCs w:val="24"/>
        </w:rPr>
        <w:t xml:space="preserve">Pennsylvania, Inc. This is a free education program offered in Bucks, Chester, Delaware, Montgomery &amp; Philadelphia Counties. Call 1-800-221-6333 to register, </w:t>
      </w:r>
      <w:r w:rsidRPr="005446E8">
        <w:rPr>
          <w:b/>
          <w:i/>
          <w:sz w:val="24"/>
          <w:szCs w:val="24"/>
          <w:u w:val="single"/>
        </w:rPr>
        <w:t>no fee to attend</w:t>
      </w:r>
      <w:r>
        <w:rPr>
          <w:i/>
          <w:sz w:val="24"/>
          <w:szCs w:val="24"/>
        </w:rPr>
        <w:t>.</w:t>
      </w:r>
    </w:p>
    <w:sectPr w:rsidR="005446E8" w:rsidSect="005446E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72" w:rsidRDefault="00112872" w:rsidP="005446E8">
      <w:pPr>
        <w:spacing w:after="0" w:line="240" w:lineRule="auto"/>
      </w:pPr>
      <w:r>
        <w:separator/>
      </w:r>
    </w:p>
  </w:endnote>
  <w:endnote w:type="continuationSeparator" w:id="0">
    <w:p w:rsidR="00112872" w:rsidRDefault="00112872" w:rsidP="005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8" w:rsidRDefault="004F2FB9" w:rsidP="005446E8">
    <w:pPr>
      <w:pStyle w:val="Footer"/>
      <w:jc w:val="center"/>
    </w:pPr>
    <w:hyperlink r:id="rId1" w:history="1">
      <w:r w:rsidR="005446E8" w:rsidRPr="00CF1FA7">
        <w:rPr>
          <w:rStyle w:val="Hyperlink"/>
        </w:rPr>
        <w:t>www.PROACT.org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72" w:rsidRDefault="00112872" w:rsidP="005446E8">
      <w:pPr>
        <w:spacing w:after="0" w:line="240" w:lineRule="auto"/>
      </w:pPr>
      <w:r>
        <w:separator/>
      </w:r>
    </w:p>
  </w:footnote>
  <w:footnote w:type="continuationSeparator" w:id="0">
    <w:p w:rsidR="00112872" w:rsidRDefault="00112872" w:rsidP="005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E8" w:rsidRDefault="005446E8" w:rsidP="005446E8">
    <w:pPr>
      <w:pStyle w:val="Header"/>
      <w:jc w:val="center"/>
      <w:rPr>
        <w:b/>
        <w:sz w:val="28"/>
        <w:szCs w:val="28"/>
      </w:rPr>
    </w:pPr>
    <w:r w:rsidRPr="005446E8">
      <w:rPr>
        <w:noProof/>
      </w:rPr>
      <w:drawing>
        <wp:inline distT="0" distB="0" distL="0" distR="0" wp14:anchorId="71D41BD5" wp14:editId="713CBD20">
          <wp:extent cx="1348740" cy="723824"/>
          <wp:effectExtent l="0" t="0" r="3810" b="635"/>
          <wp:docPr id="1028" name="Picture 4" descr="http://www.councilsepa.org/assets/_resampled/resizedimage300161-PRO-ACT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www.councilsepa.org/assets/_resampled/resizedimage300161-PRO-ACT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62" cy="74068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5446E8" w:rsidRDefault="005446E8" w:rsidP="005446E8">
    <w:pPr>
      <w:pStyle w:val="Header"/>
      <w:jc w:val="center"/>
      <w:rPr>
        <w:b/>
        <w:sz w:val="28"/>
        <w:szCs w:val="28"/>
      </w:rPr>
    </w:pPr>
    <w:r w:rsidRPr="00123E2D">
      <w:rPr>
        <w:b/>
        <w:sz w:val="28"/>
        <w:szCs w:val="28"/>
      </w:rPr>
      <w:t>FAMILY EDUCATION PROGRAM OVERVIEW</w:t>
    </w:r>
  </w:p>
  <w:p w:rsidR="00D469FE" w:rsidRPr="005446E8" w:rsidRDefault="00D469FE" w:rsidP="005446E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4951"/>
    <w:multiLevelType w:val="hybridMultilevel"/>
    <w:tmpl w:val="D45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02F9"/>
    <w:multiLevelType w:val="hybridMultilevel"/>
    <w:tmpl w:val="813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2F58"/>
    <w:multiLevelType w:val="hybridMultilevel"/>
    <w:tmpl w:val="21EC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E8"/>
    <w:rsid w:val="00112872"/>
    <w:rsid w:val="004F2FB9"/>
    <w:rsid w:val="005446E8"/>
    <w:rsid w:val="00941CE6"/>
    <w:rsid w:val="00D469FE"/>
    <w:rsid w:val="00E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88867-ACA1-49DB-8C26-0A55E2E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E8"/>
  </w:style>
  <w:style w:type="paragraph" w:styleId="Footer">
    <w:name w:val="footer"/>
    <w:basedOn w:val="Normal"/>
    <w:link w:val="FooterChar"/>
    <w:uiPriority w:val="99"/>
    <w:unhideWhenUsed/>
    <w:rsid w:val="0054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E8"/>
  </w:style>
  <w:style w:type="character" w:styleId="Hyperlink">
    <w:name w:val="Hyperlink"/>
    <w:basedOn w:val="DefaultParagraphFont"/>
    <w:uiPriority w:val="99"/>
    <w:unhideWhenUsed/>
    <w:rsid w:val="00544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Karen Farley</cp:lastModifiedBy>
  <cp:revision>2</cp:revision>
  <cp:lastPrinted>2016-03-01T11:40:00Z</cp:lastPrinted>
  <dcterms:created xsi:type="dcterms:W3CDTF">2016-06-23T12:08:00Z</dcterms:created>
  <dcterms:modified xsi:type="dcterms:W3CDTF">2016-06-23T12:08:00Z</dcterms:modified>
</cp:coreProperties>
</file>